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1D3BC8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A057C" w:rsidRPr="000A057C">
        <w:rPr>
          <w:b/>
          <w:bCs/>
        </w:rPr>
        <w:t>Výběr a zpracování tržeb z pokladen turniketů a mincovníků veřejných WC v obvodu OŘ PHA 2025–2026“</w:t>
      </w:r>
      <w:r w:rsidRPr="000A057C">
        <w:rPr>
          <w:rFonts w:eastAsia="Times New Roman" w:cs="Times New Roman"/>
          <w:lang w:eastAsia="cs-CZ"/>
        </w:rPr>
        <w:t xml:space="preserve">, č.j. </w:t>
      </w:r>
      <w:r w:rsidR="000A057C" w:rsidRPr="000A057C">
        <w:rPr>
          <w:rFonts w:eastAsia="Times New Roman" w:cs="Times New Roman"/>
          <w:lang w:eastAsia="cs-CZ"/>
        </w:rPr>
        <w:t>3891</w:t>
      </w:r>
      <w:r w:rsidR="000A057C">
        <w:rPr>
          <w:rFonts w:eastAsia="Times New Roman" w:cs="Times New Roman"/>
          <w:lang w:eastAsia="cs-CZ"/>
        </w:rPr>
        <w:t>1</w:t>
      </w:r>
      <w:r w:rsidR="000A057C" w:rsidRPr="000A057C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A057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A057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057C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D111D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D111D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480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2025-09-19T07:22:00Z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